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88E16" w14:textId="77777777" w:rsidR="00CB319C" w:rsidRDefault="00000000" w:rsidP="00CB319C">
      <w:pPr>
        <w:jc w:val="center"/>
      </w:pPr>
      <w:r>
        <w:rPr>
          <w:b/>
          <w:sz w:val="40"/>
        </w:rPr>
        <w:t>Global International Currency (GIC)</w:t>
      </w:r>
      <w:r>
        <w:rPr>
          <w:b/>
          <w:sz w:val="40"/>
        </w:rPr>
        <w:br/>
      </w:r>
      <w:r>
        <w:rPr>
          <w:sz w:val="28"/>
        </w:rPr>
        <w:br/>
      </w:r>
      <w:r w:rsidR="00233113" w:rsidRPr="00233113">
        <w:rPr>
          <w:sz w:val="28"/>
        </w:rPr>
        <w:t>Public Institutional Document</w:t>
      </w:r>
      <w:r w:rsidR="00233113">
        <w:rPr>
          <w:sz w:val="28"/>
          <w:lang w:val="fr-DZ"/>
        </w:rPr>
        <w:t xml:space="preserve"> </w:t>
      </w:r>
      <w:r>
        <w:rPr>
          <w:sz w:val="28"/>
        </w:rPr>
        <w:br/>
      </w:r>
      <w:r>
        <w:rPr>
          <w:b/>
          <w:sz w:val="36"/>
        </w:rPr>
        <w:br/>
      </w:r>
      <w:r w:rsidR="00802C76" w:rsidRPr="00802C76">
        <w:rPr>
          <w:b/>
          <w:sz w:val="36"/>
        </w:rPr>
        <w:t>Roadmap &amp; Adoption Phases</w:t>
      </w:r>
      <w:r>
        <w:rPr>
          <w:b/>
          <w:sz w:val="36"/>
        </w:rPr>
        <w:br/>
      </w:r>
      <w:r>
        <w:br/>
        <w:t>Version: v1.0</w:t>
      </w:r>
      <w:r>
        <w:br/>
        <w:t xml:space="preserve">Document Classification: </w:t>
      </w:r>
      <w:r w:rsidR="00233113" w:rsidRPr="00233113">
        <w:t xml:space="preserve">Public </w:t>
      </w:r>
    </w:p>
    <w:p w14:paraId="11F50E91" w14:textId="77777777" w:rsidR="00802C76" w:rsidRPr="00802C76" w:rsidRDefault="00802C76" w:rsidP="00802C76"/>
    <w:p w14:paraId="0C867CBC" w14:textId="77777777" w:rsidR="00802C76" w:rsidRPr="00802C76" w:rsidRDefault="00802C76" w:rsidP="00802C76"/>
    <w:p w14:paraId="300F87C6" w14:textId="77777777" w:rsidR="00802C76" w:rsidRPr="00802C76" w:rsidRDefault="00802C76" w:rsidP="00802C76"/>
    <w:p w14:paraId="326C5760" w14:textId="77777777" w:rsidR="00802C76" w:rsidRPr="00802C76" w:rsidRDefault="00802C76" w:rsidP="00802C76"/>
    <w:p w14:paraId="7C4BAD1F" w14:textId="77777777" w:rsidR="00802C76" w:rsidRPr="00802C76" w:rsidRDefault="00802C76" w:rsidP="00802C76"/>
    <w:p w14:paraId="18269893" w14:textId="77777777" w:rsidR="00802C76" w:rsidRPr="00802C76" w:rsidRDefault="00802C76" w:rsidP="00802C76"/>
    <w:p w14:paraId="7B54EEC0" w14:textId="77777777" w:rsidR="00802C76" w:rsidRPr="00802C76" w:rsidRDefault="00802C76" w:rsidP="00802C76"/>
    <w:p w14:paraId="48B3095E" w14:textId="77777777" w:rsidR="00802C76" w:rsidRPr="00802C76" w:rsidRDefault="00802C76" w:rsidP="00802C76"/>
    <w:p w14:paraId="6F9ADDD3" w14:textId="77777777" w:rsidR="00802C76" w:rsidRPr="00802C76" w:rsidRDefault="00802C76" w:rsidP="00802C76"/>
    <w:p w14:paraId="724FB19C" w14:textId="77777777" w:rsidR="00802C76" w:rsidRPr="00802C76" w:rsidRDefault="00802C76" w:rsidP="00802C76"/>
    <w:p w14:paraId="031AD9BE" w14:textId="77777777" w:rsidR="00802C76" w:rsidRPr="00802C76" w:rsidRDefault="00802C76" w:rsidP="00802C76"/>
    <w:p w14:paraId="40B2487B" w14:textId="77777777" w:rsidR="00802C76" w:rsidRPr="00802C76" w:rsidRDefault="00802C76" w:rsidP="00802C76"/>
    <w:p w14:paraId="3F9DDBD7" w14:textId="77777777" w:rsidR="00802C76" w:rsidRPr="00802C76" w:rsidRDefault="00802C76" w:rsidP="00802C76"/>
    <w:p w14:paraId="0D8557CA" w14:textId="77777777" w:rsidR="00802C76" w:rsidRPr="00802C76" w:rsidRDefault="00802C76" w:rsidP="00802C76"/>
    <w:p w14:paraId="51751CE1" w14:textId="77777777" w:rsidR="00802C76" w:rsidRPr="00802C76" w:rsidRDefault="00802C76" w:rsidP="00802C76"/>
    <w:p w14:paraId="344F3BA3" w14:textId="77777777" w:rsidR="00802C76" w:rsidRPr="00802C76" w:rsidRDefault="00802C76" w:rsidP="00802C76"/>
    <w:p w14:paraId="12309391" w14:textId="77777777" w:rsidR="00802C76" w:rsidRPr="00802C76" w:rsidRDefault="00802C76" w:rsidP="00802C76"/>
    <w:p w14:paraId="67B506C1" w14:textId="77777777" w:rsidR="00802C76" w:rsidRPr="00802C76" w:rsidRDefault="00802C76" w:rsidP="00802C76"/>
    <w:p w14:paraId="3F0825CE" w14:textId="12902937" w:rsidR="00802C76" w:rsidRDefault="00802C76" w:rsidP="00802C76">
      <w:pPr>
        <w:tabs>
          <w:tab w:val="left" w:pos="6720"/>
        </w:tabs>
      </w:pPr>
      <w:r>
        <w:tab/>
      </w:r>
    </w:p>
    <w:p w14:paraId="07B7655E" w14:textId="79A836BE" w:rsidR="00802C76" w:rsidRPr="00802C76" w:rsidRDefault="00802C76" w:rsidP="00802C76">
      <w:pPr>
        <w:tabs>
          <w:tab w:val="left" w:pos="6720"/>
        </w:tabs>
        <w:sectPr w:rsidR="00802C76" w:rsidRPr="00802C76">
          <w:footerReference w:type="default" r:id="rId8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0413294F" w14:textId="77777777" w:rsidR="0023026A" w:rsidRDefault="0023026A" w:rsidP="0023026A">
      <w:pPr>
        <w:tabs>
          <w:tab w:val="left" w:pos="4890"/>
        </w:tabs>
      </w:pPr>
    </w:p>
    <w:p w14:paraId="055CD373" w14:textId="77777777" w:rsidR="0023026A" w:rsidRDefault="0023026A" w:rsidP="0023026A"/>
    <w:p w14:paraId="1D6CF765" w14:textId="77777777" w:rsidR="0023026A" w:rsidRDefault="0023026A" w:rsidP="0023026A">
      <w:r>
        <w:tab/>
      </w:r>
      <w:r>
        <w:rPr>
          <w:b/>
          <w:sz w:val="32"/>
        </w:rPr>
        <w:t>Table of Contents</w:t>
      </w:r>
    </w:p>
    <w:sdt>
      <w:sdtPr>
        <w:rPr>
          <w:lang w:val="fr-FR"/>
        </w:rPr>
        <w:id w:val="-1847390532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color w:val="auto"/>
          <w:sz w:val="22"/>
          <w:szCs w:val="22"/>
        </w:rPr>
      </w:sdtEndPr>
      <w:sdtContent>
        <w:p w14:paraId="454EE5F4" w14:textId="4EBB4929" w:rsidR="00D76FCC" w:rsidRDefault="00D76FCC">
          <w:pPr>
            <w:pStyle w:val="En-ttedetabledesmatires"/>
          </w:pPr>
        </w:p>
        <w:p w14:paraId="5F9F6698" w14:textId="46CCAB68" w:rsidR="00D76FCC" w:rsidRDefault="00D76FCC">
          <w:pPr>
            <w:pStyle w:val="TM1"/>
            <w:tabs>
              <w:tab w:val="right" w:leader="dot" w:pos="863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377270" w:history="1">
            <w:r w:rsidRPr="00957239">
              <w:rPr>
                <w:rStyle w:val="Lienhypertexte"/>
                <w:noProof/>
              </w:rPr>
              <w:t xml:space="preserve">Roadmap </w:t>
            </w:r>
            <w:r w:rsidRPr="00957239">
              <w:rPr>
                <w:rStyle w:val="Lienhypertexte"/>
                <w:noProof/>
                <w:lang w:val="fr-DZ"/>
              </w:rPr>
              <w:t>&amp;</w:t>
            </w:r>
            <w:r w:rsidRPr="00957239">
              <w:rPr>
                <w:rStyle w:val="Lienhypertexte"/>
                <w:noProof/>
              </w:rPr>
              <w:t xml:space="preserve"> Adoption Phases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2FB6B4" w14:textId="03DA629A" w:rsidR="00D76FCC" w:rsidRDefault="00D76FCC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271" w:history="1">
            <w:r w:rsidRPr="00957239">
              <w:rPr>
                <w:rStyle w:val="Lienhypertexte"/>
                <w:noProof/>
              </w:rPr>
              <w:t>1. 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80D6EF" w14:textId="13786505" w:rsidR="00D76FCC" w:rsidRDefault="00D76FCC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272" w:history="1">
            <w:r w:rsidRPr="00957239">
              <w:rPr>
                <w:rStyle w:val="Lienhypertexte"/>
                <w:noProof/>
              </w:rPr>
              <w:t xml:space="preserve">2. Phase 1 – Conceptualization </w:t>
            </w:r>
            <w:r w:rsidRPr="00957239">
              <w:rPr>
                <w:rStyle w:val="Lienhypertexte"/>
                <w:noProof/>
                <w:lang w:val="fr-DZ"/>
              </w:rPr>
              <w:t>and</w:t>
            </w:r>
            <w:r w:rsidRPr="00957239">
              <w:rPr>
                <w:rStyle w:val="Lienhypertexte"/>
                <w:noProof/>
              </w:rPr>
              <w:t xml:space="preserve"> Governance Setup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C24380" w14:textId="3A28C451" w:rsidR="00D76FCC" w:rsidRDefault="00D76FCC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273" w:history="1">
            <w:r w:rsidRPr="00957239">
              <w:rPr>
                <w:rStyle w:val="Lienhypertexte"/>
                <w:noProof/>
              </w:rPr>
              <w:t xml:space="preserve">3. Phase 2 – Technical Development </w:t>
            </w:r>
            <w:r w:rsidRPr="00957239">
              <w:rPr>
                <w:rStyle w:val="Lienhypertexte"/>
                <w:noProof/>
                <w:lang w:val="fr-DZ"/>
              </w:rPr>
              <w:t>and</w:t>
            </w:r>
            <w:r w:rsidRPr="00957239">
              <w:rPr>
                <w:rStyle w:val="Lienhypertexte"/>
                <w:noProof/>
              </w:rPr>
              <w:t xml:space="preserve"> Prototype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A45F13" w14:textId="45F981F1" w:rsidR="00D76FCC" w:rsidRDefault="00D76FCC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274" w:history="1">
            <w:r w:rsidRPr="00957239">
              <w:rPr>
                <w:rStyle w:val="Lienhypertexte"/>
                <w:noProof/>
              </w:rPr>
              <w:t xml:space="preserve">4. Phase 3 – Pilot Launch </w:t>
            </w:r>
            <w:r w:rsidRPr="00957239">
              <w:rPr>
                <w:rStyle w:val="Lienhypertexte"/>
                <w:noProof/>
                <w:lang w:val="fr-DZ"/>
              </w:rPr>
              <w:t>and</w:t>
            </w:r>
            <w:r w:rsidRPr="00957239">
              <w:rPr>
                <w:rStyle w:val="Lienhypertexte"/>
                <w:noProof/>
              </w:rPr>
              <w:t xml:space="preserve"> Early Adoption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E04EB1" w14:textId="5577BBC9" w:rsidR="00D76FCC" w:rsidRDefault="00D76FCC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275" w:history="1">
            <w:r w:rsidRPr="00957239">
              <w:rPr>
                <w:rStyle w:val="Lienhypertexte"/>
                <w:noProof/>
              </w:rPr>
              <w:t xml:space="preserve">5. Phase 4 – Global Expansion </w:t>
            </w:r>
            <w:r w:rsidRPr="00957239">
              <w:rPr>
                <w:rStyle w:val="Lienhypertexte"/>
                <w:noProof/>
                <w:lang w:val="fr-DZ"/>
              </w:rPr>
              <w:t>and</w:t>
            </w:r>
            <w:r w:rsidRPr="00957239">
              <w:rPr>
                <w:rStyle w:val="Lienhypertexte"/>
                <w:noProof/>
              </w:rPr>
              <w:t xml:space="preserve"> Institutional Adoption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37C0A1" w14:textId="24D41986" w:rsidR="00D76FCC" w:rsidRDefault="00D76FCC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276" w:history="1">
            <w:r w:rsidRPr="00957239">
              <w:rPr>
                <w:rStyle w:val="Lienhypertexte"/>
                <w:noProof/>
              </w:rPr>
              <w:t xml:space="preserve">6. Phase 5 – Market Stabilization </w:t>
            </w:r>
            <w:r w:rsidRPr="00957239">
              <w:rPr>
                <w:rStyle w:val="Lienhypertexte"/>
                <w:noProof/>
                <w:lang w:val="fr-DZ"/>
              </w:rPr>
              <w:t>and</w:t>
            </w:r>
            <w:r w:rsidRPr="00957239">
              <w:rPr>
                <w:rStyle w:val="Lienhypertexte"/>
                <w:noProof/>
              </w:rPr>
              <w:t xml:space="preserve"> Full Operational Deployment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E5C2A4" w14:textId="632F3CD7" w:rsidR="00D76FCC" w:rsidRDefault="00D76FCC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277" w:history="1">
            <w:r w:rsidRPr="00957239">
              <w:rPr>
                <w:rStyle w:val="Lienhypertexte"/>
                <w:noProof/>
              </w:rPr>
              <w:t xml:space="preserve">7. Risk Management </w:t>
            </w:r>
            <w:r w:rsidRPr="00957239">
              <w:rPr>
                <w:rStyle w:val="Lienhypertexte"/>
                <w:noProof/>
                <w:lang w:val="fr-DZ"/>
              </w:rPr>
              <w:t>and</w:t>
            </w:r>
            <w:r w:rsidRPr="00957239">
              <w:rPr>
                <w:rStyle w:val="Lienhypertexte"/>
                <w:noProof/>
              </w:rPr>
              <w:t xml:space="preserve"> Contingency Planning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690BD5" w14:textId="1DABCFFB" w:rsidR="00D76FCC" w:rsidRDefault="00D76FCC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278" w:history="1">
            <w:r w:rsidRPr="00957239">
              <w:rPr>
                <w:rStyle w:val="Lienhypertexte"/>
                <w:noProof/>
              </w:rPr>
              <w:t xml:space="preserve">8. Transparency </w:t>
            </w:r>
            <w:r w:rsidRPr="00957239">
              <w:rPr>
                <w:rStyle w:val="Lienhypertexte"/>
                <w:noProof/>
                <w:lang w:val="fr-DZ"/>
              </w:rPr>
              <w:t>and</w:t>
            </w:r>
            <w:r w:rsidRPr="00957239">
              <w:rPr>
                <w:rStyle w:val="Lienhypertexte"/>
                <w:noProof/>
              </w:rPr>
              <w:t xml:space="preserve"> Reporting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F7C6C4" w14:textId="45AE42FE" w:rsidR="00D76FCC" w:rsidRDefault="00D76FCC">
          <w:pPr>
            <w:pStyle w:val="TM2"/>
            <w:tabs>
              <w:tab w:val="right" w:leader="dot" w:pos="8630"/>
            </w:tabs>
            <w:rPr>
              <w:noProof/>
            </w:rPr>
          </w:pPr>
          <w:hyperlink w:anchor="_Toc221377279" w:history="1">
            <w:r w:rsidRPr="00957239">
              <w:rPr>
                <w:rStyle w:val="Lienhypertexte"/>
                <w:noProof/>
              </w:rPr>
              <w:t>9. Conclusion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_Toc221377279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D89C27" w14:textId="494CDD38" w:rsidR="00D76FCC" w:rsidRDefault="00D76FCC">
          <w:r>
            <w:rPr>
              <w:b/>
              <w:bCs/>
              <w:lang w:val="fr-FR"/>
            </w:rPr>
            <w:fldChar w:fldCharType="end"/>
          </w:r>
        </w:p>
      </w:sdtContent>
    </w:sdt>
    <w:p w14:paraId="6F66678D" w14:textId="1251EE01" w:rsidR="0023026A" w:rsidRDefault="0023026A" w:rsidP="008B535F">
      <w:r>
        <w:br w:type="page"/>
      </w:r>
    </w:p>
    <w:p w14:paraId="0A7C0A52" w14:textId="77777777" w:rsidR="008B535F" w:rsidRDefault="008B535F" w:rsidP="008B535F">
      <w:pPr>
        <w:pStyle w:val="Titre1"/>
      </w:pPr>
      <w:bookmarkStart w:id="0" w:name="_Toc221377270"/>
      <w:r>
        <w:lastRenderedPageBreak/>
        <w:t xml:space="preserve">Roadmap </w:t>
      </w:r>
      <w:r w:rsidRPr="00D3206A">
        <w:rPr>
          <w:lang w:val="fr-DZ"/>
        </w:rPr>
        <w:t>&amp;</w:t>
      </w:r>
      <w:r>
        <w:t xml:space="preserve"> Adoption Phases</w:t>
      </w:r>
      <w:bookmarkEnd w:id="0"/>
    </w:p>
    <w:p w14:paraId="53A4AB8D" w14:textId="77777777" w:rsidR="008B535F" w:rsidRDefault="008B535F" w:rsidP="008B535F">
      <w:pPr>
        <w:pStyle w:val="Titre2"/>
      </w:pPr>
      <w:bookmarkStart w:id="1" w:name="_Toc221377271"/>
      <w:r>
        <w:t>1. Introduction</w:t>
      </w:r>
      <w:bookmarkEnd w:id="1"/>
    </w:p>
    <w:p w14:paraId="6F56302A" w14:textId="77777777" w:rsidR="008B535F" w:rsidRDefault="008B535F" w:rsidP="008B535F">
      <w:r>
        <w:t>The Roadmap &amp; Adoption Phases document outlines the strategic plan for the launch, adoption, and scaling of the Global International Currency (GIC).</w:t>
      </w:r>
    </w:p>
    <w:p w14:paraId="5882A355" w14:textId="77777777" w:rsidR="008B535F" w:rsidRDefault="008B535F" w:rsidP="008B535F">
      <w:r>
        <w:t>It provides investors, central banks, and institutional stakeholders with a clear understanding of implementation stages, milestones, and expected outcomes, while ensuring alignment with regulatory standards and market expectations.</w:t>
      </w:r>
    </w:p>
    <w:p w14:paraId="26C0D942" w14:textId="77777777" w:rsidR="008B535F" w:rsidRDefault="008B535F" w:rsidP="008B535F">
      <w:r>
        <w:t>The roadmap is designed to:</w:t>
      </w:r>
    </w:p>
    <w:p w14:paraId="4F5B8999" w14:textId="77777777" w:rsidR="008B535F" w:rsidRDefault="008B535F" w:rsidP="008B535F">
      <w:pPr>
        <w:pStyle w:val="Paragraphedeliste"/>
      </w:pPr>
      <w:r>
        <w:t>Ensure structured and transparent adoption</w:t>
      </w:r>
    </w:p>
    <w:p w14:paraId="05BA9D82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Reduce operational and systemic risks</w:t>
      </w:r>
    </w:p>
    <w:p w14:paraId="63393F6B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Facilitate institutional trust and global credibility</w:t>
      </w:r>
    </w:p>
    <w:p w14:paraId="2642D8BE" w14:textId="77777777" w:rsidR="008B535F" w:rsidRDefault="008B535F" w:rsidP="008B535F">
      <w:pPr>
        <w:pStyle w:val="Titre2"/>
      </w:pPr>
      <w:bookmarkStart w:id="2" w:name="_Toc221377272"/>
      <w:r>
        <w:t xml:space="preserve">2. Phase 1 – Conceptualization </w:t>
      </w:r>
      <w:r>
        <w:rPr>
          <w:lang w:val="fr-DZ"/>
        </w:rPr>
        <w:t>and</w:t>
      </w:r>
      <w:r>
        <w:t xml:space="preserve"> Governance Setup</w:t>
      </w:r>
      <w:bookmarkEnd w:id="2"/>
    </w:p>
    <w:p w14:paraId="6D81C7F0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Objectives:</w:t>
      </w:r>
    </w:p>
    <w:p w14:paraId="26E03701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Define the core vision and strategic goals of GIC</w:t>
      </w:r>
    </w:p>
    <w:p w14:paraId="02AADBBD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Establish Governance &amp; Oversight Model</w:t>
      </w:r>
    </w:p>
    <w:p w14:paraId="6FBC81E0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Draft methodology, risk management, and compliance frameworks</w:t>
      </w:r>
    </w:p>
    <w:p w14:paraId="2DCF72A1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Key Actions:</w:t>
      </w:r>
    </w:p>
    <w:p w14:paraId="0A6D4576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Engage global monetary experts and advisors</w:t>
      </w:r>
    </w:p>
    <w:p w14:paraId="1D0E7179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Formalize governance committees and decision-making processes</w:t>
      </w:r>
    </w:p>
    <w:p w14:paraId="4E23EBE0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Publish foundational Whitepaper and methodology specifications</w:t>
      </w:r>
    </w:p>
    <w:p w14:paraId="531CBDB3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Expected Outcomes:</w:t>
      </w:r>
    </w:p>
    <w:p w14:paraId="10A66741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Institutional-grade governance structure</w:t>
      </w:r>
    </w:p>
    <w:p w14:paraId="5AD3D951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Transparent methodology documentation</w:t>
      </w:r>
    </w:p>
    <w:p w14:paraId="0C44D4D1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Clear risk mitigation frameworks</w:t>
      </w:r>
    </w:p>
    <w:p w14:paraId="47A507FA" w14:textId="77777777" w:rsidR="008B535F" w:rsidRDefault="008B535F" w:rsidP="008B535F">
      <w:pPr>
        <w:pStyle w:val="Titre2"/>
      </w:pPr>
      <w:bookmarkStart w:id="3" w:name="_Toc221377273"/>
      <w:r>
        <w:t xml:space="preserve">3. Phase 2 – Technical Development </w:t>
      </w:r>
      <w:r>
        <w:rPr>
          <w:lang w:val="fr-DZ"/>
        </w:rPr>
        <w:t>and</w:t>
      </w:r>
      <w:r>
        <w:t xml:space="preserve"> Prototype</w:t>
      </w:r>
      <w:bookmarkEnd w:id="3"/>
    </w:p>
    <w:p w14:paraId="212FE88D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Objectives:</w:t>
      </w:r>
    </w:p>
    <w:p w14:paraId="45F91DD3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Develop GIC digital infrastructure</w:t>
      </w:r>
    </w:p>
    <w:p w14:paraId="00F9EEC3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Create prototype dashboard and currency simulation models</w:t>
      </w:r>
    </w:p>
    <w:p w14:paraId="0F4970C8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Validate data sources and calculation algorithms</w:t>
      </w:r>
    </w:p>
    <w:p w14:paraId="0F785624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Key Actions:</w:t>
      </w:r>
    </w:p>
    <w:p w14:paraId="168D6BE0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Build real-time exchange rate simulation and tracking system</w:t>
      </w:r>
    </w:p>
    <w:p w14:paraId="4A702277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lastRenderedPageBreak/>
        <w:t>Conduct internal stress testing and scenario analysis</w:t>
      </w:r>
    </w:p>
    <w:p w14:paraId="4AE70642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Prepare user interface for institutional review</w:t>
      </w:r>
    </w:p>
    <w:p w14:paraId="1BE7FE07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Expected Outcomes:</w:t>
      </w:r>
    </w:p>
    <w:p w14:paraId="2E09032C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Functional prototype demonstrating GIC value computation</w:t>
      </w:r>
    </w:p>
    <w:p w14:paraId="2ACB8467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Initial risk scenarios and mitigation strategies validated</w:t>
      </w:r>
    </w:p>
    <w:p w14:paraId="5CA33FF4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 xml:space="preserve">Institutional </w:t>
      </w:r>
      <w:proofErr w:type="gramStart"/>
      <w:r>
        <w:t>stakeholders</w:t>
      </w:r>
      <w:proofErr w:type="gramEnd"/>
      <w:r>
        <w:t xml:space="preserve"> engagement and feedback</w:t>
      </w:r>
    </w:p>
    <w:p w14:paraId="7DD959FD" w14:textId="77777777" w:rsidR="008B535F" w:rsidRDefault="008B535F" w:rsidP="008B535F">
      <w:pPr>
        <w:pStyle w:val="Titre2"/>
      </w:pPr>
      <w:bookmarkStart w:id="4" w:name="_Toc221377274"/>
      <w:r>
        <w:t xml:space="preserve">4. Phase 3 – Pilot Launch </w:t>
      </w:r>
      <w:r>
        <w:rPr>
          <w:lang w:val="fr-DZ"/>
        </w:rPr>
        <w:t>and</w:t>
      </w:r>
      <w:r>
        <w:t xml:space="preserve"> Early Adoption</w:t>
      </w:r>
      <w:bookmarkEnd w:id="4"/>
    </w:p>
    <w:p w14:paraId="165E43C3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Objectives:</w:t>
      </w:r>
    </w:p>
    <w:p w14:paraId="395A4544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Launch controlled pilot with selected partners</w:t>
      </w:r>
    </w:p>
    <w:p w14:paraId="572008BC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Evaluate system performance, liquidity, and transaction integrity</w:t>
      </w:r>
    </w:p>
    <w:p w14:paraId="02FBF5A2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Gather user feedback and operational insights</w:t>
      </w:r>
    </w:p>
    <w:p w14:paraId="170AF975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Key Actions:</w:t>
      </w:r>
    </w:p>
    <w:p w14:paraId="1B10BA6D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Engage central banks and financial institutions in pilot testing</w:t>
      </w:r>
    </w:p>
    <w:p w14:paraId="6BCCA590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Monitor key performance indicators (KPIs) including stability, adoption, and transaction efficiency</w:t>
      </w:r>
    </w:p>
    <w:p w14:paraId="24F86778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Refine governance, technical infrastructure, and operational procedures</w:t>
      </w:r>
    </w:p>
    <w:p w14:paraId="68A63EA2" w14:textId="77777777" w:rsidR="008B535F" w:rsidRPr="008F491A" w:rsidRDefault="008B535F" w:rsidP="008B535F">
      <w:pPr>
        <w:rPr>
          <w:b/>
          <w:bCs/>
        </w:rPr>
      </w:pPr>
      <w:r w:rsidRPr="008F491A">
        <w:rPr>
          <w:b/>
          <w:bCs/>
        </w:rPr>
        <w:t>Expected Outcomes:</w:t>
      </w:r>
    </w:p>
    <w:p w14:paraId="4CBDB719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Verified system performance under real-world conditions</w:t>
      </w:r>
    </w:p>
    <w:p w14:paraId="252629A7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Stakeholder confidence in operational integrity</w:t>
      </w:r>
    </w:p>
    <w:p w14:paraId="4418B0E7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Lessons learned incorporated into full-scale launch</w:t>
      </w:r>
    </w:p>
    <w:p w14:paraId="02476178" w14:textId="77777777" w:rsidR="008B535F" w:rsidRDefault="008B535F" w:rsidP="008B535F">
      <w:pPr>
        <w:pStyle w:val="Titre2"/>
      </w:pPr>
      <w:bookmarkStart w:id="5" w:name="_Toc221377275"/>
      <w:r>
        <w:t xml:space="preserve">5. Phase 4 – Global Expansion </w:t>
      </w:r>
      <w:r>
        <w:rPr>
          <w:lang w:val="fr-DZ"/>
        </w:rPr>
        <w:t>and</w:t>
      </w:r>
      <w:r>
        <w:t xml:space="preserve"> Institutional Adoption</w:t>
      </w:r>
      <w:bookmarkEnd w:id="5"/>
    </w:p>
    <w:p w14:paraId="0772DA04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Objectives:</w:t>
      </w:r>
    </w:p>
    <w:p w14:paraId="5C227F61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Expand adoption across multiple countries and regions</w:t>
      </w:r>
    </w:p>
    <w:p w14:paraId="327D985A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Integrate GIC with existing financial infrastructure and CBDCs</w:t>
      </w:r>
    </w:p>
    <w:p w14:paraId="174A835F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Promote institutional awareness and trust</w:t>
      </w:r>
    </w:p>
    <w:p w14:paraId="209EA2B7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Key Actions:</w:t>
      </w:r>
    </w:p>
    <w:p w14:paraId="00D4F9BC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Coordinate with national monetary authorities for official participation</w:t>
      </w:r>
    </w:p>
    <w:p w14:paraId="057D5E11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Provide training and support for institutional users</w:t>
      </w:r>
    </w:p>
    <w:p w14:paraId="358E7191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Implement enhanced security, compliance, and monitoring systems</w:t>
      </w:r>
    </w:p>
    <w:p w14:paraId="34A7A046" w14:textId="77777777" w:rsidR="008B535F" w:rsidRDefault="008B535F" w:rsidP="008B535F">
      <w:pPr>
        <w:rPr>
          <w:b/>
          <w:bCs/>
        </w:rPr>
      </w:pPr>
    </w:p>
    <w:p w14:paraId="1DBC7ACB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Expected Outcomes:</w:t>
      </w:r>
    </w:p>
    <w:p w14:paraId="62BF7DA8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lastRenderedPageBreak/>
        <w:t>Broad institutional participation</w:t>
      </w:r>
    </w:p>
    <w:p w14:paraId="674493E9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Operationally robust and scalable system</w:t>
      </w:r>
    </w:p>
    <w:p w14:paraId="4CEB317A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Increased liquidity and global recognition</w:t>
      </w:r>
    </w:p>
    <w:p w14:paraId="75D5FB5F" w14:textId="77777777" w:rsidR="008B535F" w:rsidRDefault="008B535F" w:rsidP="008B535F">
      <w:pPr>
        <w:pStyle w:val="Titre2"/>
      </w:pPr>
      <w:bookmarkStart w:id="6" w:name="_Toc221377276"/>
      <w:r>
        <w:t xml:space="preserve">6. Phase 5 – Market Stabilization </w:t>
      </w:r>
      <w:r>
        <w:rPr>
          <w:lang w:val="fr-DZ"/>
        </w:rPr>
        <w:t>and</w:t>
      </w:r>
      <w:r>
        <w:t xml:space="preserve"> Full Operational Deployment</w:t>
      </w:r>
      <w:bookmarkEnd w:id="6"/>
    </w:p>
    <w:p w14:paraId="2D19547D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Objectives:</w:t>
      </w:r>
    </w:p>
    <w:p w14:paraId="3FCB0552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Achieve stability across currencies and transaction systems</w:t>
      </w:r>
    </w:p>
    <w:p w14:paraId="6A97E052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Consolidate GIC as a reliable global reference unit</w:t>
      </w:r>
    </w:p>
    <w:p w14:paraId="5F859935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Ensure long-term sustainability and continuous improvement</w:t>
      </w:r>
    </w:p>
    <w:p w14:paraId="235363EB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Key Actions:</w:t>
      </w:r>
    </w:p>
    <w:p w14:paraId="512CE3CB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Monitor market adoption and adjust weights and methodology if needed</w:t>
      </w:r>
    </w:p>
    <w:p w14:paraId="422BD024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Conduct periodic audits and publish governance reports</w:t>
      </w:r>
    </w:p>
    <w:p w14:paraId="25DCD669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Establish mechanisms for ongoing innovation and system evolution</w:t>
      </w:r>
    </w:p>
    <w:p w14:paraId="241A521D" w14:textId="77777777" w:rsidR="008B535F" w:rsidRPr="001344C7" w:rsidRDefault="008B535F" w:rsidP="008B535F">
      <w:pPr>
        <w:rPr>
          <w:b/>
          <w:bCs/>
        </w:rPr>
      </w:pPr>
      <w:r w:rsidRPr="001344C7">
        <w:rPr>
          <w:b/>
          <w:bCs/>
        </w:rPr>
        <w:t>Expected Outcomes:</w:t>
      </w:r>
    </w:p>
    <w:p w14:paraId="20CCDF74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Stable and predictable GIC value across all participating currencies</w:t>
      </w:r>
    </w:p>
    <w:p w14:paraId="6EA53277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Institutional and investor confidence solidified</w:t>
      </w:r>
    </w:p>
    <w:p w14:paraId="528DEA74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Foundation for long-term global adoption</w:t>
      </w:r>
    </w:p>
    <w:p w14:paraId="29683B49" w14:textId="77777777" w:rsidR="008B535F" w:rsidRDefault="008B535F" w:rsidP="008B535F">
      <w:pPr>
        <w:pStyle w:val="Titre2"/>
      </w:pPr>
      <w:bookmarkStart w:id="7" w:name="_Toc221377277"/>
      <w:r>
        <w:t xml:space="preserve">7. Risk Management </w:t>
      </w:r>
      <w:r>
        <w:rPr>
          <w:lang w:val="fr-DZ"/>
        </w:rPr>
        <w:t>and</w:t>
      </w:r>
      <w:r>
        <w:t xml:space="preserve"> Contingency Planning</w:t>
      </w:r>
      <w:bookmarkEnd w:id="7"/>
    </w:p>
    <w:p w14:paraId="1EB71C83" w14:textId="77777777" w:rsidR="008B535F" w:rsidRDefault="008B535F" w:rsidP="008B535F">
      <w:r>
        <w:t>Throughout all adoption phases, comprehensive risk management is maintained, including:</w:t>
      </w:r>
    </w:p>
    <w:p w14:paraId="71CDA1E2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Currency volatility mitigation</w:t>
      </w:r>
    </w:p>
    <w:p w14:paraId="78C84233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Regulatory compliance assurance</w:t>
      </w:r>
    </w:p>
    <w:p w14:paraId="35A09C55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Operational and cybersecurity safeguards</w:t>
      </w:r>
    </w:p>
    <w:p w14:paraId="6D9A41D1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Contingency plans for systemic or geopolitical shocks</w:t>
      </w:r>
    </w:p>
    <w:p w14:paraId="51DBE011" w14:textId="77777777" w:rsidR="008B535F" w:rsidRDefault="008B535F" w:rsidP="008B535F">
      <w:pPr>
        <w:pStyle w:val="Titre2"/>
      </w:pPr>
      <w:bookmarkStart w:id="8" w:name="_Toc221377278"/>
      <w:r>
        <w:t xml:space="preserve">8. Transparency </w:t>
      </w:r>
      <w:r>
        <w:rPr>
          <w:lang w:val="fr-DZ"/>
        </w:rPr>
        <w:t>and</w:t>
      </w:r>
      <w:r>
        <w:t xml:space="preserve"> Reporting</w:t>
      </w:r>
      <w:bookmarkEnd w:id="8"/>
    </w:p>
    <w:p w14:paraId="7B2FD0CD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Regularly published reports detailing adoption progress, methodology adjustments, and risk assessment</w:t>
      </w:r>
    </w:p>
    <w:p w14:paraId="746A4680" w14:textId="77777777" w:rsidR="008B535F" w:rsidRDefault="008B535F" w:rsidP="008B535F">
      <w:pPr>
        <w:pStyle w:val="Paragraphedeliste"/>
        <w:numPr>
          <w:ilvl w:val="0"/>
          <w:numId w:val="10"/>
        </w:numPr>
      </w:pPr>
      <w:r>
        <w:t>Open access to stakeholders and public information to maintain credibility and trust</w:t>
      </w:r>
    </w:p>
    <w:p w14:paraId="2C1F8A6C" w14:textId="77777777" w:rsidR="008B535F" w:rsidRDefault="008B535F" w:rsidP="008B535F">
      <w:pPr>
        <w:pStyle w:val="Titre2"/>
      </w:pPr>
      <w:bookmarkStart w:id="9" w:name="_Toc221377279"/>
      <w:r>
        <w:t>9. Conclusion</w:t>
      </w:r>
      <w:bookmarkEnd w:id="9"/>
    </w:p>
    <w:p w14:paraId="510E16B1" w14:textId="77777777" w:rsidR="008B535F" w:rsidRDefault="008B535F" w:rsidP="008B535F">
      <w:r>
        <w:t>The Roadmap &amp; Adoption Phases ensures a structured, transparent, and institutionally credible path for the Global International Currency (GIC).</w:t>
      </w:r>
    </w:p>
    <w:p w14:paraId="53C02D96" w14:textId="24896CC1" w:rsidR="0023026A" w:rsidRPr="0023026A" w:rsidRDefault="008B535F" w:rsidP="008B535F">
      <w:pPr>
        <w:tabs>
          <w:tab w:val="left" w:pos="3267"/>
        </w:tabs>
        <w:sectPr w:rsidR="0023026A" w:rsidRPr="0023026A" w:rsidSect="00CB319C">
          <w:footerReference w:type="default" r:id="rId9"/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t>By carefully sequencing governance, technical, pilot, and global expansion stages, GIC is positioned to become a neutral, trusted, and globally recognized reference currency for the financial ecosystem</w:t>
      </w:r>
      <w:r w:rsidR="0023026A">
        <w:tab/>
      </w:r>
    </w:p>
    <w:p w14:paraId="606AD4D2" w14:textId="764E4B92" w:rsidR="00DA2FE4" w:rsidRDefault="00000000">
      <w:r>
        <w:lastRenderedPageBreak/>
        <w:t>.</w:t>
      </w:r>
    </w:p>
    <w:sectPr w:rsidR="00DA2FE4" w:rsidSect="00034616">
      <w:type w:val="nextColumn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CAE9C7" w14:textId="77777777" w:rsidR="009475ED" w:rsidRDefault="009475ED">
      <w:pPr>
        <w:spacing w:after="0" w:line="240" w:lineRule="auto"/>
      </w:pPr>
      <w:r>
        <w:separator/>
      </w:r>
    </w:p>
  </w:endnote>
  <w:endnote w:type="continuationSeparator" w:id="0">
    <w:p w14:paraId="2126486E" w14:textId="77777777" w:rsidR="009475ED" w:rsidRDefault="00947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5B92E" w14:textId="10E750F1" w:rsidR="00DA2FE4" w:rsidRPr="00802C76" w:rsidRDefault="00000000" w:rsidP="002A532B">
    <w:pPr>
      <w:pStyle w:val="Pieddepage"/>
      <w:jc w:val="center"/>
    </w:pPr>
    <w:r>
      <w:t xml:space="preserve">© Global International Currency (GIC) — </w:t>
    </w:r>
    <w:r w:rsidR="00233113" w:rsidRPr="00233113">
      <w:t>Public</w:t>
    </w:r>
    <w:r w:rsidR="00233113">
      <w:rPr>
        <w:lang w:val="fr-DZ"/>
      </w:rPr>
      <w:t xml:space="preserve"> </w:t>
    </w:r>
    <w:r w:rsidR="00233113">
      <w:t>Documentation</w:t>
    </w:r>
    <w:r w:rsidR="00233113" w:rsidRPr="00233113">
      <w:t xml:space="preserve"> </w:t>
    </w:r>
  </w:p>
  <w:p w14:paraId="1E3DCDF0" w14:textId="57577B3D" w:rsidR="00DA2FE4" w:rsidRDefault="00DA2FE4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EDE4AF" w14:textId="77777777" w:rsidR="001534D5" w:rsidRDefault="001534D5" w:rsidP="002A532B">
    <w:pPr>
      <w:pStyle w:val="Pieddepage"/>
      <w:jc w:val="center"/>
    </w:pPr>
  </w:p>
  <w:p w14:paraId="60E1AF53" w14:textId="3B93D8B8" w:rsidR="00CB319C" w:rsidRDefault="00CB319C" w:rsidP="002A532B">
    <w:pPr>
      <w:pStyle w:val="Pieddepage"/>
      <w:jc w:val="center"/>
    </w:pPr>
    <w:r>
      <w:t xml:space="preserve">© Global International Currency (GIC) — </w:t>
    </w:r>
    <w:r w:rsidR="00233113" w:rsidRPr="00233113">
      <w:t>Public</w:t>
    </w:r>
    <w:r w:rsidR="00233113">
      <w:rPr>
        <w:lang w:val="fr-DZ"/>
      </w:rPr>
      <w:t xml:space="preserve"> </w:t>
    </w:r>
    <w:r w:rsidR="00233113">
      <w:t>Documentation</w:t>
    </w:r>
    <w:r w:rsidR="00233113" w:rsidRPr="00233113">
      <w:t xml:space="preserve"> </w:t>
    </w:r>
  </w:p>
  <w:p w14:paraId="4D0FE7C8" w14:textId="77777777" w:rsidR="00CB319C" w:rsidRDefault="00CB319C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D3C16" w14:textId="77777777" w:rsidR="009475ED" w:rsidRDefault="009475ED">
      <w:pPr>
        <w:spacing w:after="0" w:line="240" w:lineRule="auto"/>
      </w:pPr>
      <w:r>
        <w:separator/>
      </w:r>
    </w:p>
  </w:footnote>
  <w:footnote w:type="continuationSeparator" w:id="0">
    <w:p w14:paraId="3E466D57" w14:textId="77777777" w:rsidR="009475ED" w:rsidRDefault="009475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FF09BB"/>
    <w:multiLevelType w:val="hybridMultilevel"/>
    <w:tmpl w:val="094027B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895037">
    <w:abstractNumId w:val="8"/>
  </w:num>
  <w:num w:numId="2" w16cid:durableId="1497301767">
    <w:abstractNumId w:val="6"/>
  </w:num>
  <w:num w:numId="3" w16cid:durableId="420684039">
    <w:abstractNumId w:val="5"/>
  </w:num>
  <w:num w:numId="4" w16cid:durableId="1222594326">
    <w:abstractNumId w:val="4"/>
  </w:num>
  <w:num w:numId="5" w16cid:durableId="1371763822">
    <w:abstractNumId w:val="7"/>
  </w:num>
  <w:num w:numId="6" w16cid:durableId="488406136">
    <w:abstractNumId w:val="3"/>
  </w:num>
  <w:num w:numId="7" w16cid:durableId="833109333">
    <w:abstractNumId w:val="2"/>
  </w:num>
  <w:num w:numId="8" w16cid:durableId="73010908">
    <w:abstractNumId w:val="1"/>
  </w:num>
  <w:num w:numId="9" w16cid:durableId="356084767">
    <w:abstractNumId w:val="0"/>
  </w:num>
  <w:num w:numId="10" w16cid:durableId="9280077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34D5"/>
    <w:rsid w:val="0023026A"/>
    <w:rsid w:val="00233113"/>
    <w:rsid w:val="0029639D"/>
    <w:rsid w:val="002A532B"/>
    <w:rsid w:val="00326F90"/>
    <w:rsid w:val="005666A4"/>
    <w:rsid w:val="00796F4D"/>
    <w:rsid w:val="00802C76"/>
    <w:rsid w:val="00890082"/>
    <w:rsid w:val="008B535F"/>
    <w:rsid w:val="009475ED"/>
    <w:rsid w:val="00AA1D8D"/>
    <w:rsid w:val="00B47730"/>
    <w:rsid w:val="00BB44F5"/>
    <w:rsid w:val="00CB0664"/>
    <w:rsid w:val="00CB319C"/>
    <w:rsid w:val="00D76FCC"/>
    <w:rsid w:val="00DA2F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E9F8C94"/>
  <w14:defaultImageDpi w14:val="300"/>
  <w15:docId w15:val="{03DB991D-69BF-4E69-BAD3-6141918B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D76FCC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D76FCC"/>
    <w:pPr>
      <w:spacing w:after="100"/>
      <w:ind w:left="220"/>
    </w:pPr>
  </w:style>
  <w:style w:type="character" w:styleId="Lienhypertexte">
    <w:name w:val="Hyperlink"/>
    <w:basedOn w:val="Policepardfaut"/>
    <w:uiPriority w:val="99"/>
    <w:unhideWhenUsed/>
    <w:rsid w:val="00D76F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madani douba</cp:lastModifiedBy>
  <cp:revision>9</cp:revision>
  <dcterms:created xsi:type="dcterms:W3CDTF">2013-12-23T23:15:00Z</dcterms:created>
  <dcterms:modified xsi:type="dcterms:W3CDTF">2026-02-07T16:21:00Z</dcterms:modified>
  <cp:category/>
</cp:coreProperties>
</file>